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F16" w:rsidRDefault="00313F16" w:rsidP="00313F16">
      <w:pPr>
        <w:pStyle w:val="2"/>
        <w:ind w:right="-396"/>
        <w:jc w:val="left"/>
        <w:rPr>
          <w:rFonts w:ascii="Times New Roman" w:hAnsi="Times New Roman"/>
          <w:szCs w:val="28"/>
        </w:rPr>
      </w:pPr>
      <w:r>
        <w:rPr>
          <w:noProof/>
        </w:rPr>
        <w:drawing>
          <wp:inline distT="0" distB="0" distL="0" distR="0">
            <wp:extent cx="3648075" cy="400050"/>
            <wp:effectExtent l="0" t="0" r="9525" b="0"/>
            <wp:docPr id="1" name="Рисунок 1" descr="Полюс-Витимэнер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люс-Витимэнерг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48075" cy="400050"/>
                    </a:xfrm>
                    <a:prstGeom prst="rect">
                      <a:avLst/>
                    </a:prstGeom>
                    <a:noFill/>
                    <a:ln>
                      <a:noFill/>
                    </a:ln>
                  </pic:spPr>
                </pic:pic>
              </a:graphicData>
            </a:graphic>
          </wp:inline>
        </w:drawing>
      </w:r>
    </w:p>
    <w:p w:rsidR="00313F16" w:rsidRDefault="00313F16" w:rsidP="00313F16">
      <w:pPr>
        <w:pStyle w:val="2"/>
        <w:ind w:right="-396"/>
        <w:jc w:val="center"/>
        <w:rPr>
          <w:rFonts w:ascii="Times New Roman" w:hAnsi="Times New Roman"/>
          <w:szCs w:val="28"/>
        </w:rPr>
      </w:pPr>
    </w:p>
    <w:p w:rsidR="00313F16" w:rsidRDefault="00313F16" w:rsidP="00313F16">
      <w:pPr>
        <w:pStyle w:val="2"/>
        <w:ind w:left="-284" w:right="-144"/>
        <w:jc w:val="center"/>
        <w:rPr>
          <w:rFonts w:ascii="Times New Roman" w:hAnsi="Times New Roman"/>
          <w:szCs w:val="28"/>
        </w:rPr>
      </w:pPr>
    </w:p>
    <w:p w:rsidR="00313F16" w:rsidRDefault="00313F16" w:rsidP="00313F16">
      <w:pPr>
        <w:ind w:left="-284" w:right="-144"/>
        <w:jc w:val="center"/>
        <w:rPr>
          <w:sz w:val="36"/>
          <w:szCs w:val="36"/>
        </w:rPr>
      </w:pPr>
    </w:p>
    <w:p w:rsidR="002E1D66" w:rsidRDefault="003F1FCA" w:rsidP="003F1FCA">
      <w:pPr>
        <w:shd w:val="clear" w:color="auto" w:fill="FFFFFF"/>
        <w:ind w:left="-284" w:right="-144"/>
        <w:jc w:val="center"/>
        <w:rPr>
          <w:b/>
          <w:sz w:val="28"/>
          <w:szCs w:val="28"/>
        </w:rPr>
      </w:pPr>
      <w:r w:rsidRPr="002E1D66">
        <w:rPr>
          <w:b/>
          <w:sz w:val="28"/>
          <w:szCs w:val="28"/>
        </w:rPr>
        <w:t xml:space="preserve">Установка дизель-генераторной установки (ДГУ) на ПС 110 </w:t>
      </w:r>
      <w:proofErr w:type="spellStart"/>
      <w:r w:rsidRPr="002E1D66">
        <w:rPr>
          <w:b/>
          <w:sz w:val="28"/>
          <w:szCs w:val="28"/>
        </w:rPr>
        <w:t>кВ</w:t>
      </w:r>
      <w:proofErr w:type="spellEnd"/>
      <w:r w:rsidRPr="002E1D66">
        <w:rPr>
          <w:b/>
          <w:sz w:val="28"/>
          <w:szCs w:val="28"/>
        </w:rPr>
        <w:t xml:space="preserve"> Перевоз </w:t>
      </w:r>
    </w:p>
    <w:p w:rsidR="00313F16" w:rsidRPr="002E1D66" w:rsidRDefault="003F1FCA" w:rsidP="003F1FCA">
      <w:pPr>
        <w:shd w:val="clear" w:color="auto" w:fill="FFFFFF"/>
        <w:ind w:left="-284" w:right="-144"/>
        <w:jc w:val="center"/>
        <w:rPr>
          <w:b/>
          <w:color w:val="000000"/>
          <w:sz w:val="24"/>
          <w:szCs w:val="24"/>
        </w:rPr>
      </w:pPr>
      <w:r w:rsidRPr="002E1D66">
        <w:rPr>
          <w:b/>
          <w:sz w:val="28"/>
          <w:szCs w:val="28"/>
        </w:rPr>
        <w:t xml:space="preserve">с </w:t>
      </w:r>
      <w:r w:rsidR="002E1D66" w:rsidRPr="002E1D66">
        <w:rPr>
          <w:b/>
          <w:sz w:val="28"/>
          <w:szCs w:val="28"/>
        </w:rPr>
        <w:t>установленной мощностью 1,8 МВт</w:t>
      </w:r>
    </w:p>
    <w:p w:rsidR="00313F16" w:rsidRDefault="00313F16" w:rsidP="00313F16">
      <w:pPr>
        <w:shd w:val="clear" w:color="auto" w:fill="FFFFFF"/>
        <w:ind w:left="-284" w:right="-144"/>
        <w:jc w:val="right"/>
        <w:rPr>
          <w:color w:val="000000"/>
          <w:sz w:val="24"/>
          <w:szCs w:val="24"/>
        </w:rPr>
      </w:pPr>
    </w:p>
    <w:p w:rsidR="00313F16" w:rsidRDefault="00313F16" w:rsidP="00313F16">
      <w:pPr>
        <w:shd w:val="clear" w:color="auto" w:fill="FFFFFF"/>
        <w:ind w:left="-284" w:right="-538" w:hanging="142"/>
        <w:jc w:val="both"/>
        <w:rPr>
          <w:color w:val="000000"/>
          <w:sz w:val="24"/>
          <w:szCs w:val="24"/>
          <w:u w:val="single"/>
        </w:rPr>
      </w:pPr>
      <w:r>
        <w:rPr>
          <w:color w:val="000000"/>
          <w:sz w:val="24"/>
          <w:szCs w:val="24"/>
        </w:rPr>
        <w:t xml:space="preserve">  Место расположения: </w:t>
      </w:r>
      <w:proofErr w:type="spellStart"/>
      <w:r>
        <w:rPr>
          <w:color w:val="000000"/>
          <w:sz w:val="24"/>
          <w:szCs w:val="24"/>
        </w:rPr>
        <w:t>Бодайбинский</w:t>
      </w:r>
      <w:proofErr w:type="spellEnd"/>
      <w:r>
        <w:rPr>
          <w:color w:val="000000"/>
          <w:sz w:val="24"/>
          <w:szCs w:val="24"/>
        </w:rPr>
        <w:t xml:space="preserve"> район, поселок </w:t>
      </w:r>
      <w:r w:rsidR="003F1FCA">
        <w:rPr>
          <w:color w:val="000000"/>
          <w:sz w:val="24"/>
          <w:szCs w:val="24"/>
        </w:rPr>
        <w:t>Перевоз,</w:t>
      </w:r>
      <w:r w:rsidR="002E1D66">
        <w:rPr>
          <w:color w:val="000000"/>
          <w:sz w:val="24"/>
          <w:szCs w:val="24"/>
        </w:rPr>
        <w:t xml:space="preserve"> </w:t>
      </w:r>
      <w:r>
        <w:rPr>
          <w:color w:val="000000"/>
          <w:sz w:val="24"/>
          <w:szCs w:val="24"/>
        </w:rPr>
        <w:t>ПС 110</w:t>
      </w:r>
      <w:r w:rsidR="002E1D66">
        <w:rPr>
          <w:color w:val="000000"/>
          <w:sz w:val="24"/>
          <w:szCs w:val="24"/>
        </w:rPr>
        <w:t xml:space="preserve"> </w:t>
      </w:r>
      <w:proofErr w:type="spellStart"/>
      <w:r>
        <w:rPr>
          <w:color w:val="000000"/>
          <w:sz w:val="24"/>
          <w:szCs w:val="24"/>
        </w:rPr>
        <w:t>кВ</w:t>
      </w:r>
      <w:proofErr w:type="spellEnd"/>
      <w:r>
        <w:rPr>
          <w:color w:val="000000"/>
          <w:sz w:val="24"/>
          <w:szCs w:val="24"/>
        </w:rPr>
        <w:t xml:space="preserve"> </w:t>
      </w:r>
      <w:r w:rsidR="003F1FCA">
        <w:rPr>
          <w:color w:val="000000"/>
          <w:sz w:val="24"/>
          <w:szCs w:val="24"/>
        </w:rPr>
        <w:t>Перевоз</w:t>
      </w:r>
      <w:r>
        <w:rPr>
          <w:color w:val="000000"/>
          <w:sz w:val="24"/>
          <w:szCs w:val="24"/>
        </w:rPr>
        <w:tab/>
      </w:r>
      <w:r>
        <w:rPr>
          <w:color w:val="000000"/>
          <w:sz w:val="24"/>
          <w:szCs w:val="24"/>
        </w:rPr>
        <w:tab/>
      </w:r>
      <w:r>
        <w:rPr>
          <w:color w:val="000000"/>
          <w:sz w:val="24"/>
          <w:szCs w:val="24"/>
        </w:rPr>
        <w:tab/>
      </w:r>
      <w:r>
        <w:rPr>
          <w:color w:val="000000"/>
          <w:sz w:val="24"/>
          <w:szCs w:val="24"/>
          <w:u w:val="single"/>
        </w:rPr>
        <w:t xml:space="preserve">                     </w:t>
      </w:r>
    </w:p>
    <w:p w:rsidR="00313F16" w:rsidRDefault="00313F16" w:rsidP="00313F16">
      <w:pPr>
        <w:ind w:left="-284" w:right="-144"/>
        <w:jc w:val="center"/>
        <w:rPr>
          <w:sz w:val="16"/>
          <w:szCs w:val="16"/>
        </w:rPr>
      </w:pPr>
    </w:p>
    <w:p w:rsidR="00313F16" w:rsidRDefault="00313F16" w:rsidP="00313F16">
      <w:pPr>
        <w:shd w:val="clear" w:color="auto" w:fill="FFFFFF"/>
        <w:ind w:left="-284" w:right="-144" w:firstLine="284"/>
        <w:jc w:val="both"/>
        <w:rPr>
          <w:sz w:val="24"/>
          <w:szCs w:val="24"/>
          <w:u w:val="single"/>
        </w:rPr>
      </w:pPr>
    </w:p>
    <w:p w:rsidR="003F1FCA" w:rsidRDefault="00313F16" w:rsidP="00313F16">
      <w:pPr>
        <w:widowControl/>
        <w:autoSpaceDE/>
        <w:adjustRightInd/>
        <w:ind w:firstLine="284"/>
        <w:jc w:val="both"/>
        <w:rPr>
          <w:bCs/>
          <w:sz w:val="24"/>
          <w:szCs w:val="24"/>
        </w:rPr>
      </w:pPr>
      <w:bookmarkStart w:id="0" w:name="_GoBack"/>
      <w:bookmarkEnd w:id="0"/>
      <w:r>
        <w:rPr>
          <w:bCs/>
          <w:sz w:val="24"/>
          <w:szCs w:val="24"/>
        </w:rPr>
        <w:t>Электроснабжения потребителей поселк</w:t>
      </w:r>
      <w:r w:rsidR="003F1FCA">
        <w:rPr>
          <w:bCs/>
          <w:sz w:val="24"/>
          <w:szCs w:val="24"/>
        </w:rPr>
        <w:t xml:space="preserve">а </w:t>
      </w:r>
      <w:r>
        <w:rPr>
          <w:bCs/>
          <w:sz w:val="24"/>
          <w:szCs w:val="24"/>
        </w:rPr>
        <w:t xml:space="preserve">Перевоз, осуществляется по ВЛ 110кВ Невский-Перевоз. ВЛ выполнена в деревянном </w:t>
      </w:r>
      <w:proofErr w:type="spellStart"/>
      <w:r>
        <w:rPr>
          <w:bCs/>
          <w:sz w:val="24"/>
          <w:szCs w:val="24"/>
        </w:rPr>
        <w:t>одноцепном</w:t>
      </w:r>
      <w:proofErr w:type="spellEnd"/>
      <w:r>
        <w:rPr>
          <w:bCs/>
          <w:sz w:val="24"/>
          <w:szCs w:val="24"/>
        </w:rPr>
        <w:t xml:space="preserve"> исполнении, ее общая протяженность более 120км. На своем протяжении трасса ВЛ пересекает большое количество рек, болот, на участке от ПС 110кВ Светлый до ПС 110кВ Перевоз ВЛ проходит вдоль русла реки Жуя, неоднократно ее пересекая, автомобильные дороги отсутствуют. </w:t>
      </w:r>
      <w:r w:rsidR="003F1FCA">
        <w:rPr>
          <w:bCs/>
          <w:sz w:val="24"/>
          <w:szCs w:val="24"/>
        </w:rPr>
        <w:t>В период распутицы проезд на отдельных участках становится практически невозможным. П</w:t>
      </w:r>
      <w:r>
        <w:rPr>
          <w:bCs/>
          <w:sz w:val="24"/>
          <w:szCs w:val="24"/>
        </w:rPr>
        <w:t>ри возникновении аварии, действием защит происходит отключение ВЛ 110кВ от ПС 110кВ Невский до ПС 110кВ Перевоз.</w:t>
      </w:r>
      <w:r w:rsidR="003F1FCA">
        <w:rPr>
          <w:bCs/>
          <w:sz w:val="24"/>
          <w:szCs w:val="24"/>
        </w:rPr>
        <w:t xml:space="preserve"> Учитывая труднодоступность местности, на поиск и устранение аварии уходит значительное количество времени. </w:t>
      </w:r>
    </w:p>
    <w:p w:rsidR="003F1FCA" w:rsidRPr="003F1FCA" w:rsidRDefault="003F1FCA" w:rsidP="003F1FCA">
      <w:pPr>
        <w:widowControl/>
        <w:autoSpaceDE/>
        <w:adjustRightInd/>
        <w:ind w:firstLine="284"/>
        <w:jc w:val="both"/>
        <w:rPr>
          <w:bCs/>
          <w:sz w:val="24"/>
          <w:szCs w:val="24"/>
        </w:rPr>
      </w:pPr>
      <w:r>
        <w:rPr>
          <w:bCs/>
          <w:sz w:val="24"/>
          <w:szCs w:val="24"/>
        </w:rPr>
        <w:t>Для обеспечения резервного электроснабжения поселка Перевоз на период плановых и неплановых отключений ВЛ 110кВ Невский – Перевоз, необходима у</w:t>
      </w:r>
      <w:r w:rsidRPr="003F1FCA">
        <w:rPr>
          <w:bCs/>
          <w:sz w:val="24"/>
          <w:szCs w:val="24"/>
        </w:rPr>
        <w:t xml:space="preserve">становка дизель-генераторной установки (ДГУ) на ПС 110 </w:t>
      </w:r>
      <w:proofErr w:type="spellStart"/>
      <w:r w:rsidRPr="003F1FCA">
        <w:rPr>
          <w:bCs/>
          <w:sz w:val="24"/>
          <w:szCs w:val="24"/>
        </w:rPr>
        <w:t>кВ</w:t>
      </w:r>
      <w:proofErr w:type="spellEnd"/>
      <w:r w:rsidRPr="003F1FCA">
        <w:rPr>
          <w:bCs/>
          <w:sz w:val="24"/>
          <w:szCs w:val="24"/>
        </w:rPr>
        <w:t xml:space="preserve"> Перевоз с у</w:t>
      </w:r>
      <w:r>
        <w:rPr>
          <w:bCs/>
          <w:sz w:val="24"/>
          <w:szCs w:val="24"/>
        </w:rPr>
        <w:t>становленной мощностью 1,8 МВт.</w:t>
      </w:r>
    </w:p>
    <w:p w:rsidR="003F1FCA" w:rsidRDefault="003F1FCA" w:rsidP="00313F16">
      <w:pPr>
        <w:widowControl/>
        <w:autoSpaceDE/>
        <w:adjustRightInd/>
        <w:ind w:firstLine="284"/>
        <w:jc w:val="both"/>
        <w:rPr>
          <w:bCs/>
          <w:sz w:val="24"/>
          <w:szCs w:val="24"/>
        </w:rPr>
      </w:pPr>
    </w:p>
    <w:p w:rsidR="00313F16" w:rsidRDefault="00313F16" w:rsidP="00313F16">
      <w:pPr>
        <w:widowControl/>
        <w:autoSpaceDE/>
        <w:adjustRightInd/>
        <w:ind w:firstLine="284"/>
        <w:jc w:val="both"/>
        <w:rPr>
          <w:bCs/>
          <w:sz w:val="24"/>
          <w:szCs w:val="24"/>
        </w:rPr>
      </w:pPr>
    </w:p>
    <w:p w:rsidR="00313F16" w:rsidRDefault="00313F16" w:rsidP="00313F16">
      <w:pPr>
        <w:widowControl/>
        <w:autoSpaceDE/>
        <w:adjustRightInd/>
        <w:ind w:firstLine="284"/>
        <w:jc w:val="both"/>
        <w:rPr>
          <w:bCs/>
          <w:sz w:val="24"/>
          <w:szCs w:val="24"/>
        </w:rPr>
      </w:pPr>
      <w:r>
        <w:rPr>
          <w:bCs/>
          <w:sz w:val="24"/>
          <w:szCs w:val="24"/>
        </w:rPr>
        <w:t xml:space="preserve"> </w:t>
      </w:r>
    </w:p>
    <w:p w:rsidR="006E72A8" w:rsidRDefault="006E72A8"/>
    <w:sectPr w:rsidR="006E72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609"/>
    <w:rsid w:val="001A1609"/>
    <w:rsid w:val="002E1D66"/>
    <w:rsid w:val="00313F16"/>
    <w:rsid w:val="003F1FCA"/>
    <w:rsid w:val="006E72A8"/>
    <w:rsid w:val="007B12F4"/>
    <w:rsid w:val="00930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00DB"/>
  <w15:chartTrackingRefBased/>
  <w15:docId w15:val="{57B71B51-8C38-4510-BA5D-BCC936181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F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313F16"/>
    <w:pPr>
      <w:keepNext/>
      <w:widowControl/>
      <w:autoSpaceDE/>
      <w:autoSpaceDN/>
      <w:adjustRightInd/>
      <w:jc w:val="both"/>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13F16"/>
    <w:rPr>
      <w:rFonts w:ascii="Arial" w:eastAsia="Times New Roman" w:hAnsi="Arial" w:cs="Times New Roman"/>
      <w:b/>
      <w:sz w:val="28"/>
      <w:szCs w:val="20"/>
      <w:lang w:eastAsia="ru-RU"/>
    </w:rPr>
  </w:style>
  <w:style w:type="paragraph" w:styleId="a3">
    <w:name w:val="annotation text"/>
    <w:basedOn w:val="a"/>
    <w:link w:val="a4"/>
    <w:uiPriority w:val="99"/>
    <w:semiHidden/>
    <w:unhideWhenUsed/>
    <w:rsid w:val="00313F16"/>
  </w:style>
  <w:style w:type="character" w:customStyle="1" w:styleId="a4">
    <w:name w:val="Текст примечания Знак"/>
    <w:basedOn w:val="a0"/>
    <w:link w:val="a3"/>
    <w:uiPriority w:val="99"/>
    <w:semiHidden/>
    <w:rsid w:val="00313F16"/>
    <w:rPr>
      <w:rFonts w:ascii="Times New Roman" w:eastAsia="Times New Roman" w:hAnsi="Times New Roman" w:cs="Times New Roman"/>
      <w:sz w:val="20"/>
      <w:szCs w:val="20"/>
      <w:lang w:eastAsia="ru-RU"/>
    </w:rPr>
  </w:style>
  <w:style w:type="character" w:styleId="a5">
    <w:name w:val="annotation reference"/>
    <w:uiPriority w:val="99"/>
    <w:semiHidden/>
    <w:unhideWhenUsed/>
    <w:rsid w:val="00313F16"/>
    <w:rPr>
      <w:sz w:val="16"/>
      <w:szCs w:val="16"/>
    </w:rPr>
  </w:style>
  <w:style w:type="paragraph" w:styleId="a6">
    <w:name w:val="Balloon Text"/>
    <w:basedOn w:val="a"/>
    <w:link w:val="a7"/>
    <w:uiPriority w:val="99"/>
    <w:semiHidden/>
    <w:unhideWhenUsed/>
    <w:rsid w:val="00313F16"/>
    <w:rPr>
      <w:rFonts w:ascii="Segoe UI" w:hAnsi="Segoe UI" w:cs="Segoe UI"/>
      <w:sz w:val="18"/>
      <w:szCs w:val="18"/>
    </w:rPr>
  </w:style>
  <w:style w:type="character" w:customStyle="1" w:styleId="a7">
    <w:name w:val="Текст выноски Знак"/>
    <w:basedOn w:val="a0"/>
    <w:link w:val="a6"/>
    <w:uiPriority w:val="99"/>
    <w:semiHidden/>
    <w:rsid w:val="00313F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11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173</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Русинов Евгений Сергеевич</dc:creator>
  <cp:keywords/>
  <dc:description/>
  <cp:lastModifiedBy>Брылко Лидия Леонидовна</cp:lastModifiedBy>
  <cp:revision>5</cp:revision>
  <dcterms:created xsi:type="dcterms:W3CDTF">2021-03-22T08:00:00Z</dcterms:created>
  <dcterms:modified xsi:type="dcterms:W3CDTF">2022-02-25T03:35:00Z</dcterms:modified>
</cp:coreProperties>
</file>